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27.03.2023 № 51.</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83.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сфере гражданской обороны и чрезвычайных ситуаций</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профессиональной этики. Речевой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правила служебного поведения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Служебная дисциплина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государственных гражданских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Урегулирование конфликта интересов и разрешение служебных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07.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профессиональной этики. Речевой этикет.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это?</w:t>
            </w:r>
          </w:p>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Принципы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Служебная этика это?</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и становления профессиональной морали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чести</w:t>
            </w:r>
          </w:p>
          <w:p>
            <w:pPr>
              <w:jc w:val="both"/>
              <w:spacing w:after="0" w:line="240" w:lineRule="auto"/>
              <w:rPr>
                <w:sz w:val="24"/>
                <w:szCs w:val="24"/>
              </w:rPr>
            </w:pPr>
            <w:r>
              <w:rPr>
                <w:rFonts w:ascii="Times New Roman" w:hAnsi="Times New Roman" w:cs="Times New Roman"/>
                <w:color w:val="#000000"/>
                <w:sz w:val="24"/>
                <w:szCs w:val="24"/>
              </w:rPr>
              <w:t> Кодекс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Федеральный закон от 23.05.2016 N 141-ФЗ (ред. от 01.04.2022) и 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правила служебного поведения государственного гражданского служащего.</w:t>
            </w:r>
          </w:p>
        </w:tc>
      </w:tr>
      <w:tr>
        <w:trPr>
          <w:trHeight w:hRule="exact" w:val="704.2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при осуществлении служебной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принципы служебного поведения государственного гражданского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служебного поведения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Профессионально-нравственные качества государственного гражданского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Служебная дисциплина государственного гражданского служащего.</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Ограничения, запреты и обязанности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служебного поведения 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государственных гражданских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Форменная одежда</w:t>
            </w:r>
          </w:p>
          <w:p>
            <w:pPr>
              <w:jc w:val="both"/>
              <w:spacing w:after="0" w:line="240" w:lineRule="auto"/>
              <w:rPr>
                <w:sz w:val="24"/>
                <w:szCs w:val="24"/>
              </w:rPr>
            </w:pPr>
            <w:r>
              <w:rPr>
                <w:rFonts w:ascii="Times New Roman" w:hAnsi="Times New Roman" w:cs="Times New Roman"/>
                <w:color w:val="#000000"/>
                <w:sz w:val="24"/>
                <w:szCs w:val="24"/>
              </w:rPr>
              <w:t> Правила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Основные особенности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Правила при ношении погон и знаков различия</w:t>
            </w:r>
          </w:p>
          <w:p>
            <w:pPr>
              <w:jc w:val="both"/>
              <w:spacing w:after="0" w:line="240" w:lineRule="auto"/>
              <w:rPr>
                <w:sz w:val="24"/>
                <w:szCs w:val="24"/>
              </w:rPr>
            </w:pPr>
            <w:r>
              <w:rPr>
                <w:rFonts w:ascii="Times New Roman" w:hAnsi="Times New Roman" w:cs="Times New Roman"/>
                <w:color w:val="#000000"/>
                <w:sz w:val="24"/>
                <w:szCs w:val="24"/>
              </w:rPr>
              <w:t> Правила ношения ведомственных знаков отличия и иных геральдических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Урегулирование конфликта интересов и разрешение служебных споров.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интересов</w:t>
            </w:r>
          </w:p>
          <w:p>
            <w:pPr>
              <w:jc w:val="both"/>
              <w:spacing w:after="0" w:line="240" w:lineRule="auto"/>
              <w:rPr>
                <w:sz w:val="24"/>
                <w:szCs w:val="24"/>
              </w:rPr>
            </w:pPr>
            <w:r>
              <w:rPr>
                <w:rFonts w:ascii="Times New Roman" w:hAnsi="Times New Roman" w:cs="Times New Roman"/>
                <w:color w:val="#000000"/>
                <w:sz w:val="24"/>
                <w:szCs w:val="24"/>
              </w:rPr>
              <w:t> Меры по предотвращению и урегулированию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предотвращения и урегулирования конфликта</w:t>
            </w:r>
          </w:p>
          <w:p>
            <w:pPr>
              <w:jc w:val="both"/>
              <w:spacing w:after="0" w:line="240" w:lineRule="auto"/>
              <w:rPr>
                <w:sz w:val="24"/>
                <w:szCs w:val="24"/>
              </w:rPr>
            </w:pPr>
            <w:r>
              <w:rPr>
                <w:rFonts w:ascii="Times New Roman" w:hAnsi="Times New Roman" w:cs="Times New Roman"/>
                <w:color w:val="#000000"/>
                <w:sz w:val="24"/>
                <w:szCs w:val="24"/>
              </w:rPr>
              <w:t> Служебный спор</w:t>
            </w:r>
          </w:p>
          <w:p>
            <w:pPr>
              <w:jc w:val="both"/>
              <w:spacing w:after="0" w:line="240" w:lineRule="auto"/>
              <w:rPr>
                <w:sz w:val="24"/>
                <w:szCs w:val="24"/>
              </w:rPr>
            </w:pPr>
            <w:r>
              <w:rPr>
                <w:rFonts w:ascii="Times New Roman" w:hAnsi="Times New Roman" w:cs="Times New Roman"/>
                <w:color w:val="#000000"/>
                <w:sz w:val="24"/>
                <w:szCs w:val="24"/>
              </w:rPr>
              <w:t> Коллективные служебные споры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https://urait.ru/bcode/468934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978-5-534-03936-8.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2023-2024_ФГОС3++2023_Бак-ОФО-ГМУ(ПБЧС)(23)_plx_Профессиональная этика государственного служащего</dc:title>
  <dc:creator>FastReport.NET</dc:creator>
</cp:coreProperties>
</file>